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71" w:rsidRDefault="00925871" w:rsidP="00925871">
      <w:pPr>
        <w:jc w:val="center"/>
        <w:rPr>
          <w:lang w:val="en-US"/>
        </w:rPr>
      </w:pPr>
      <w:r>
        <w:rPr>
          <w:lang w:val="en-US"/>
        </w:rPr>
        <w:t>BE A POSH ENABLER:</w:t>
      </w:r>
    </w:p>
    <w:p w:rsidR="00AF1D6E" w:rsidRDefault="00925871" w:rsidP="00925871">
      <w:pPr>
        <w:jc w:val="center"/>
        <w:rPr>
          <w:lang w:val="en-US"/>
        </w:rPr>
      </w:pPr>
      <w:r>
        <w:rPr>
          <w:lang w:val="en-US"/>
        </w:rPr>
        <w:t>TRAIN THE TRAINER WORKSHOP</w:t>
      </w:r>
    </w:p>
    <w:p w:rsidR="00925871" w:rsidRDefault="00925871" w:rsidP="00925871">
      <w:pPr>
        <w:jc w:val="center"/>
        <w:rPr>
          <w:lang w:val="en-US"/>
        </w:rPr>
      </w:pPr>
      <w:r>
        <w:rPr>
          <w:lang w:val="en-US"/>
        </w:rPr>
        <w:t>(Two Days)</w:t>
      </w:r>
    </w:p>
    <w:p w:rsidR="00925871" w:rsidRDefault="00925871" w:rsidP="00925871">
      <w:pPr>
        <w:jc w:val="center"/>
        <w:rPr>
          <w:lang w:val="en-US"/>
        </w:rPr>
      </w:pPr>
    </w:p>
    <w:p w:rsidR="00925871" w:rsidRDefault="00925871" w:rsidP="00925871">
      <w:pPr>
        <w:jc w:val="center"/>
        <w:rPr>
          <w:lang w:val="en-US"/>
        </w:rPr>
      </w:pPr>
    </w:p>
    <w:p w:rsidR="00925871" w:rsidRDefault="00925871" w:rsidP="00440A87">
      <w:pPr>
        <w:rPr>
          <w:lang w:val="en-US"/>
        </w:rPr>
      </w:pPr>
      <w:r>
        <w:rPr>
          <w:lang w:val="en-US"/>
        </w:rPr>
        <w:t xml:space="preserve">Primary reason attributed to the increased number of sexual harassment at workplace is lack of awareness. </w:t>
      </w:r>
      <w:r w:rsidR="00440A87">
        <w:rPr>
          <w:lang w:val="en-US"/>
        </w:rPr>
        <w:t xml:space="preserve">People do not know what constitutes a ‘sexual harassment’ and what not. </w:t>
      </w:r>
      <w:r>
        <w:rPr>
          <w:lang w:val="en-US"/>
        </w:rPr>
        <w:t>Though, Sexual Harassment of women at workplace (Prevention, Prohibition &amp; Redressal) Act, 2013 (the Act) mandates the regular awareness programs among the employees, it has not been complied with at the desired level.</w:t>
      </w:r>
    </w:p>
    <w:p w:rsidR="00925871" w:rsidRDefault="00925871" w:rsidP="00440A87">
      <w:pPr>
        <w:rPr>
          <w:lang w:val="en-US"/>
        </w:rPr>
      </w:pPr>
    </w:p>
    <w:p w:rsidR="00925871" w:rsidRPr="00440A87" w:rsidRDefault="00925871" w:rsidP="00440A87">
      <w:pPr>
        <w:rPr>
          <w:rFonts w:ascii="Times New Roman" w:eastAsia="Times New Roman" w:hAnsi="Times New Roman" w:cs="Times New Roman"/>
        </w:rPr>
      </w:pPr>
      <w:r>
        <w:rPr>
          <w:lang w:val="en-US"/>
        </w:rPr>
        <w:t xml:space="preserve">Government of India, under Ministry of Women and </w:t>
      </w:r>
      <w:r w:rsidR="00440A87">
        <w:rPr>
          <w:lang w:val="en-US"/>
        </w:rPr>
        <w:t>C</w:t>
      </w:r>
      <w:r>
        <w:rPr>
          <w:lang w:val="en-US"/>
        </w:rPr>
        <w:t xml:space="preserve">hild </w:t>
      </w:r>
      <w:r w:rsidR="00440A87">
        <w:rPr>
          <w:lang w:val="en-US"/>
        </w:rPr>
        <w:t xml:space="preserve">Development </w:t>
      </w:r>
      <w:r>
        <w:rPr>
          <w:lang w:val="en-US"/>
        </w:rPr>
        <w:t xml:space="preserve">has published a panel of the </w:t>
      </w:r>
      <w:r w:rsidR="00440A87">
        <w:rPr>
          <w:lang w:val="en-US"/>
        </w:rPr>
        <w:t>‘</w:t>
      </w:r>
      <w:r>
        <w:rPr>
          <w:lang w:val="en-US"/>
        </w:rPr>
        <w:t>resource institutions</w:t>
      </w:r>
      <w:r w:rsidR="00440A87">
        <w:rPr>
          <w:lang w:val="en-US"/>
        </w:rPr>
        <w:t>’[</w:t>
      </w:r>
      <w:r w:rsidR="00440A87" w:rsidRPr="00440A87">
        <w:t xml:space="preserve"> </w:t>
      </w:r>
      <w:hyperlink r:id="rId5" w:history="1">
        <w:r w:rsidR="00440A87" w:rsidRPr="00440A87">
          <w:rPr>
            <w:rFonts w:ascii="Times New Roman" w:eastAsia="Times New Roman" w:hAnsi="Times New Roman" w:cs="Times New Roman"/>
            <w:color w:val="0000FF"/>
            <w:u w:val="single"/>
          </w:rPr>
          <w:t>http://www.shebox.nic.in/training/login</w:t>
        </w:r>
      </w:hyperlink>
      <w:r w:rsidR="00440A87">
        <w:rPr>
          <w:rFonts w:ascii="Times New Roman" w:eastAsia="Times New Roman" w:hAnsi="Times New Roman" w:cs="Times New Roman"/>
        </w:rPr>
        <w:t>].</w:t>
      </w:r>
      <w:r>
        <w:rPr>
          <w:lang w:val="en-US"/>
        </w:rPr>
        <w:t xml:space="preserve"> </w:t>
      </w:r>
      <w:r w:rsidR="00440A87">
        <w:rPr>
          <w:lang w:val="en-US"/>
        </w:rPr>
        <w:t>C</w:t>
      </w:r>
      <w:r>
        <w:rPr>
          <w:lang w:val="en-US"/>
        </w:rPr>
        <w:t xml:space="preserve">onsidering the size and volume of </w:t>
      </w:r>
      <w:r w:rsidR="00440A87">
        <w:rPr>
          <w:lang w:val="en-US"/>
        </w:rPr>
        <w:t xml:space="preserve">the </w:t>
      </w:r>
      <w:r>
        <w:rPr>
          <w:lang w:val="en-US"/>
        </w:rPr>
        <w:t>workplaces in India</w:t>
      </w:r>
      <w:r w:rsidR="00440A87">
        <w:rPr>
          <w:lang w:val="en-US"/>
        </w:rPr>
        <w:t xml:space="preserve">. </w:t>
      </w:r>
      <w:r>
        <w:rPr>
          <w:lang w:val="en-US"/>
        </w:rPr>
        <w:t xml:space="preserve">, it is insufficient.  </w:t>
      </w:r>
    </w:p>
    <w:p w:rsidR="00440A87" w:rsidRDefault="00440A87" w:rsidP="00440A87">
      <w:pPr>
        <w:rPr>
          <w:lang w:val="en-US"/>
        </w:rPr>
      </w:pPr>
    </w:p>
    <w:p w:rsidR="00925871" w:rsidRDefault="00925871" w:rsidP="00440A87">
      <w:pPr>
        <w:rPr>
          <w:lang w:val="en-US"/>
        </w:rPr>
      </w:pPr>
      <w:r>
        <w:rPr>
          <w:lang w:val="en-US"/>
        </w:rPr>
        <w:t xml:space="preserve">Keeping this in view, VLegal (a </w:t>
      </w:r>
      <w:proofErr w:type="spellStart"/>
      <w:r>
        <w:rPr>
          <w:lang w:val="en-US"/>
        </w:rPr>
        <w:t>GoI</w:t>
      </w:r>
      <w:proofErr w:type="spellEnd"/>
      <w:r>
        <w:rPr>
          <w:lang w:val="en-US"/>
        </w:rPr>
        <w:t xml:space="preserve"> empaneled resource institution) has designed </w:t>
      </w:r>
      <w:r w:rsidR="00440A87">
        <w:rPr>
          <w:lang w:val="en-US"/>
        </w:rPr>
        <w:t>the</w:t>
      </w:r>
      <w:r>
        <w:rPr>
          <w:lang w:val="en-US"/>
        </w:rPr>
        <w:t xml:space="preserve"> ‘POSH Enabler’ </w:t>
      </w:r>
      <w:r w:rsidR="00462D29">
        <w:rPr>
          <w:lang w:val="en-US"/>
        </w:rPr>
        <w:t xml:space="preserve">a </w:t>
      </w:r>
      <w:r>
        <w:rPr>
          <w:lang w:val="en-US"/>
        </w:rPr>
        <w:t xml:space="preserve">train the trainer workshop for the trainers and corporate employees. As of date, VLegal has conducted </w:t>
      </w:r>
      <w:r w:rsidR="00440A87">
        <w:rPr>
          <w:lang w:val="en-US"/>
        </w:rPr>
        <w:t>6</w:t>
      </w:r>
      <w:r>
        <w:rPr>
          <w:lang w:val="en-US"/>
        </w:rPr>
        <w:t xml:space="preserve"> Workshops</w:t>
      </w:r>
      <w:r w:rsidR="00440A87">
        <w:rPr>
          <w:lang w:val="en-US"/>
        </w:rPr>
        <w:t xml:space="preserve"> (Bengaluru, Kochi, Mumbai, Chennai &amp; Delhi)</w:t>
      </w:r>
      <w:r>
        <w:rPr>
          <w:lang w:val="en-US"/>
        </w:rPr>
        <w:t xml:space="preserve">, </w:t>
      </w:r>
      <w:r w:rsidR="00462D29">
        <w:rPr>
          <w:lang w:val="en-US"/>
        </w:rPr>
        <w:t xml:space="preserve">across the country, </w:t>
      </w:r>
      <w:r>
        <w:rPr>
          <w:lang w:val="en-US"/>
        </w:rPr>
        <w:t xml:space="preserve">successfully. </w:t>
      </w:r>
      <w:r w:rsidR="00462D29">
        <w:rPr>
          <w:lang w:val="en-US"/>
        </w:rPr>
        <w:t xml:space="preserve">Around One Hundred and Ten participants have been trained and </w:t>
      </w:r>
      <w:r w:rsidR="00440A87">
        <w:rPr>
          <w:lang w:val="en-US"/>
        </w:rPr>
        <w:t xml:space="preserve">we are happy to record that many of them have been earned corporate assignments of POSH related compliances. </w:t>
      </w:r>
    </w:p>
    <w:p w:rsidR="00462D29" w:rsidRDefault="00462D29" w:rsidP="00925871">
      <w:pPr>
        <w:jc w:val="center"/>
        <w:rPr>
          <w:lang w:val="en-US"/>
        </w:rPr>
      </w:pPr>
    </w:p>
    <w:p w:rsidR="00462D29" w:rsidRDefault="00462D29" w:rsidP="00462D29">
      <w:pPr>
        <w:rPr>
          <w:lang w:val="en-US"/>
        </w:rPr>
      </w:pPr>
      <w:r>
        <w:rPr>
          <w:lang w:val="en-US"/>
        </w:rPr>
        <w:t xml:space="preserve">What makes this workshop different: </w:t>
      </w:r>
    </w:p>
    <w:p w:rsidR="00462D29" w:rsidRDefault="00462D29" w:rsidP="00462D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It’s an end-to-end interactive program;</w:t>
      </w:r>
    </w:p>
    <w:p w:rsidR="00462D29" w:rsidRDefault="00462D29" w:rsidP="00462D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Case studies, debates &amp; Role plays;</w:t>
      </w:r>
    </w:p>
    <w:p w:rsidR="00440A87" w:rsidRDefault="00440A87" w:rsidP="00462D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Updated knowledge sharing; </w:t>
      </w:r>
    </w:p>
    <w:p w:rsidR="00462D29" w:rsidRDefault="00462D29" w:rsidP="00462D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High voltage Q&amp;A Sessions throughout the sessions;</w:t>
      </w:r>
    </w:p>
    <w:p w:rsidR="00462D29" w:rsidRDefault="00440A87" w:rsidP="00462D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Post Workshop </w:t>
      </w:r>
      <w:r w:rsidR="00462D29">
        <w:rPr>
          <w:lang w:val="en-US"/>
        </w:rPr>
        <w:t>Handholding of the participants</w:t>
      </w:r>
      <w:r>
        <w:rPr>
          <w:lang w:val="en-US"/>
        </w:rPr>
        <w:t xml:space="preserve">; </w:t>
      </w:r>
    </w:p>
    <w:p w:rsidR="00462D29" w:rsidRDefault="00462D29" w:rsidP="00462D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Assist</w:t>
      </w:r>
      <w:r w:rsidR="00440A87">
        <w:rPr>
          <w:lang w:val="en-US"/>
        </w:rPr>
        <w:t xml:space="preserve">ance in designing the profile for </w:t>
      </w:r>
      <w:r>
        <w:rPr>
          <w:lang w:val="en-US"/>
        </w:rPr>
        <w:t>corporate assignments;</w:t>
      </w:r>
    </w:p>
    <w:p w:rsidR="00462D29" w:rsidRDefault="00462D29" w:rsidP="00462D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Certificate of Participation.</w:t>
      </w:r>
    </w:p>
    <w:p w:rsidR="00462D29" w:rsidRPr="00462D29" w:rsidRDefault="00462D29" w:rsidP="00462D29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462D29" w:rsidRDefault="00462D29" w:rsidP="00462D29">
      <w:pPr>
        <w:rPr>
          <w:lang w:val="en-US"/>
        </w:rPr>
      </w:pPr>
      <w:r>
        <w:rPr>
          <w:lang w:val="en-US"/>
        </w:rPr>
        <w:t>Who should attend:</w:t>
      </w:r>
    </w:p>
    <w:p w:rsidR="00462D29" w:rsidRDefault="00462D29" w:rsidP="00462D29">
      <w:pPr>
        <w:rPr>
          <w:lang w:val="en-US"/>
        </w:rPr>
      </w:pPr>
    </w:p>
    <w:p w:rsidR="00462D29" w:rsidRPr="00440A87" w:rsidRDefault="00462D29" w:rsidP="00440A87">
      <w:pPr>
        <w:pStyle w:val="ListParagraph"/>
        <w:numPr>
          <w:ilvl w:val="0"/>
          <w:numId w:val="3"/>
        </w:numPr>
        <w:rPr>
          <w:lang w:val="en-US"/>
        </w:rPr>
      </w:pPr>
      <w:r w:rsidRPr="00440A87">
        <w:rPr>
          <w:lang w:val="en-US"/>
        </w:rPr>
        <w:t>Corporate Trainers;</w:t>
      </w:r>
    </w:p>
    <w:p w:rsidR="00462D29" w:rsidRPr="00440A87" w:rsidRDefault="00462D29" w:rsidP="00440A87">
      <w:pPr>
        <w:pStyle w:val="ListParagraph"/>
        <w:numPr>
          <w:ilvl w:val="0"/>
          <w:numId w:val="3"/>
        </w:numPr>
        <w:rPr>
          <w:lang w:val="en-US"/>
        </w:rPr>
      </w:pPr>
      <w:r w:rsidRPr="00440A87">
        <w:rPr>
          <w:lang w:val="en-US"/>
        </w:rPr>
        <w:t>IC Members, HR Executives and In-house Legal Counsel;</w:t>
      </w:r>
    </w:p>
    <w:p w:rsidR="00B57FCE" w:rsidRPr="00440A87" w:rsidRDefault="00B57FCE" w:rsidP="00440A87">
      <w:pPr>
        <w:pStyle w:val="ListParagraph"/>
        <w:numPr>
          <w:ilvl w:val="0"/>
          <w:numId w:val="3"/>
        </w:numPr>
        <w:rPr>
          <w:lang w:val="en-US"/>
        </w:rPr>
      </w:pPr>
      <w:r w:rsidRPr="00440A87">
        <w:rPr>
          <w:lang w:val="en-US"/>
        </w:rPr>
        <w:t>Principals of Higher Educational Institutions (the Act applies)</w:t>
      </w:r>
    </w:p>
    <w:p w:rsidR="00B57FCE" w:rsidRPr="00440A87" w:rsidRDefault="00B57FCE" w:rsidP="00440A87">
      <w:pPr>
        <w:pStyle w:val="ListParagraph"/>
        <w:numPr>
          <w:ilvl w:val="0"/>
          <w:numId w:val="3"/>
        </w:numPr>
        <w:rPr>
          <w:lang w:val="en-US"/>
        </w:rPr>
      </w:pPr>
      <w:r w:rsidRPr="00440A87">
        <w:rPr>
          <w:lang w:val="en-US"/>
        </w:rPr>
        <w:t>Lawyers &amp; Social workers;</w:t>
      </w:r>
    </w:p>
    <w:p w:rsidR="00B57FCE" w:rsidRPr="00440A87" w:rsidRDefault="00B57FCE" w:rsidP="00440A87">
      <w:pPr>
        <w:pStyle w:val="ListParagraph"/>
        <w:numPr>
          <w:ilvl w:val="0"/>
          <w:numId w:val="3"/>
        </w:numPr>
        <w:rPr>
          <w:lang w:val="en-US"/>
        </w:rPr>
      </w:pPr>
      <w:r w:rsidRPr="00440A87">
        <w:rPr>
          <w:lang w:val="en-US"/>
        </w:rPr>
        <w:t>NGO Executives who are working for the cause women empowerment.</w:t>
      </w:r>
    </w:p>
    <w:p w:rsidR="00B57FCE" w:rsidRPr="00440A87" w:rsidRDefault="00B57FCE" w:rsidP="00440A87">
      <w:pPr>
        <w:pStyle w:val="ListParagraph"/>
        <w:numPr>
          <w:ilvl w:val="0"/>
          <w:numId w:val="3"/>
        </w:numPr>
        <w:rPr>
          <w:lang w:val="en-US"/>
        </w:rPr>
      </w:pPr>
      <w:r w:rsidRPr="00440A87">
        <w:rPr>
          <w:lang w:val="en-US"/>
        </w:rPr>
        <w:t>PSU Resource Persons;</w:t>
      </w:r>
    </w:p>
    <w:p w:rsidR="00462D29" w:rsidRPr="00440A87" w:rsidRDefault="00B57FCE" w:rsidP="00440A87">
      <w:pPr>
        <w:pStyle w:val="ListParagraph"/>
        <w:numPr>
          <w:ilvl w:val="0"/>
          <w:numId w:val="3"/>
        </w:numPr>
        <w:rPr>
          <w:lang w:val="en-US"/>
        </w:rPr>
      </w:pPr>
      <w:r w:rsidRPr="00440A87">
        <w:rPr>
          <w:lang w:val="en-US"/>
        </w:rPr>
        <w:t xml:space="preserve">Entrepreneurs and Business Owners </w:t>
      </w:r>
    </w:p>
    <w:p w:rsidR="00462D29" w:rsidRDefault="00462D29" w:rsidP="00462D29">
      <w:pPr>
        <w:rPr>
          <w:lang w:val="en-US"/>
        </w:rPr>
      </w:pPr>
    </w:p>
    <w:p w:rsidR="00462D29" w:rsidRDefault="00462D29" w:rsidP="00462D29">
      <w:pPr>
        <w:rPr>
          <w:lang w:val="en-US"/>
        </w:rPr>
      </w:pPr>
      <w:r>
        <w:rPr>
          <w:lang w:val="en-US"/>
        </w:rPr>
        <w:t>What it covers:</w:t>
      </w:r>
    </w:p>
    <w:p w:rsidR="00462D29" w:rsidRPr="00462D29" w:rsidRDefault="00462D29" w:rsidP="00462D2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62D29">
        <w:rPr>
          <w:rFonts w:ascii="Tahoma" w:eastAsia="Times New Roman" w:hAnsi="Tahoma" w:cs="Tahoma"/>
          <w:color w:val="000000"/>
          <w:sz w:val="21"/>
          <w:szCs w:val="21"/>
        </w:rPr>
        <w:t xml:space="preserve">Gender Sensitivity; the 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relevance, </w:t>
      </w:r>
      <w:r w:rsidRPr="00462D29">
        <w:rPr>
          <w:rFonts w:ascii="Tahoma" w:eastAsia="Times New Roman" w:hAnsi="Tahoma" w:cs="Tahoma"/>
          <w:color w:val="000000"/>
          <w:sz w:val="21"/>
          <w:szCs w:val="21"/>
        </w:rPr>
        <w:t>purpose &amp; how to achieve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in the workplaces;</w:t>
      </w:r>
    </w:p>
    <w:p w:rsidR="00462D29" w:rsidRPr="00462D29" w:rsidRDefault="00462D29" w:rsidP="00462D2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62D29">
        <w:rPr>
          <w:rFonts w:ascii="Tahoma" w:eastAsia="Times New Roman" w:hAnsi="Tahoma" w:cs="Tahoma"/>
          <w:color w:val="000000"/>
          <w:sz w:val="21"/>
          <w:szCs w:val="21"/>
        </w:rPr>
        <w:t>What’s Law? How the laws being implemented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in India</w:t>
      </w:r>
      <w:r w:rsidRPr="00462D29">
        <w:rPr>
          <w:rFonts w:ascii="Tahoma" w:eastAsia="Times New Roman" w:hAnsi="Tahoma" w:cs="Tahoma"/>
          <w:color w:val="000000"/>
          <w:sz w:val="21"/>
          <w:szCs w:val="21"/>
        </w:rPr>
        <w:t>?</w:t>
      </w:r>
    </w:p>
    <w:p w:rsidR="00462D29" w:rsidRPr="00462D29" w:rsidRDefault="00462D29" w:rsidP="00462D2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62D29">
        <w:rPr>
          <w:rFonts w:ascii="Tahoma" w:eastAsia="Times New Roman" w:hAnsi="Tahoma" w:cs="Tahoma"/>
          <w:color w:val="000000"/>
          <w:sz w:val="21"/>
          <w:szCs w:val="21"/>
        </w:rPr>
        <w:t>Compliances under POSH Law;</w:t>
      </w:r>
    </w:p>
    <w:p w:rsidR="00462D29" w:rsidRPr="00462D29" w:rsidRDefault="00462D29" w:rsidP="00462D2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Zero tolerance Policy: How to achieve?</w:t>
      </w:r>
    </w:p>
    <w:p w:rsidR="00462D29" w:rsidRPr="00462D29" w:rsidRDefault="00462D29" w:rsidP="00462D2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62D29">
        <w:rPr>
          <w:rFonts w:ascii="Tahoma" w:eastAsia="Times New Roman" w:hAnsi="Tahoma" w:cs="Tahoma"/>
          <w:color w:val="000000"/>
          <w:sz w:val="21"/>
          <w:szCs w:val="21"/>
        </w:rPr>
        <w:lastRenderedPageBreak/>
        <w:t>Prohibition &amp; Prevention, steps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to be taken</w:t>
      </w:r>
      <w:r w:rsidRPr="00462D29">
        <w:rPr>
          <w:rFonts w:ascii="Tahoma" w:eastAsia="Times New Roman" w:hAnsi="Tahoma" w:cs="Tahoma"/>
          <w:color w:val="000000"/>
          <w:sz w:val="21"/>
          <w:szCs w:val="21"/>
        </w:rPr>
        <w:t>;</w:t>
      </w:r>
    </w:p>
    <w:p w:rsidR="00462D29" w:rsidRPr="00462D29" w:rsidRDefault="00462D29" w:rsidP="00462D2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62D29">
        <w:rPr>
          <w:rFonts w:ascii="Tahoma" w:eastAsia="Times New Roman" w:hAnsi="Tahoma" w:cs="Tahoma"/>
          <w:color w:val="000000"/>
          <w:sz w:val="21"/>
          <w:szCs w:val="21"/>
        </w:rPr>
        <w:t>Anti-Sexual Harassment Policy;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the purpose &amp; contents</w:t>
      </w:r>
    </w:p>
    <w:p w:rsidR="00462D29" w:rsidRPr="00462D29" w:rsidRDefault="00462D29" w:rsidP="00462D2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62D29">
        <w:rPr>
          <w:rFonts w:ascii="Tahoma" w:eastAsia="Times New Roman" w:hAnsi="Tahoma" w:cs="Tahoma"/>
          <w:color w:val="000000"/>
          <w:sz w:val="21"/>
          <w:szCs w:val="21"/>
        </w:rPr>
        <w:t>Constitution of Internal Committee (IC);</w:t>
      </w:r>
    </w:p>
    <w:p w:rsidR="00462D29" w:rsidRPr="00462D29" w:rsidRDefault="00462D29" w:rsidP="00462D2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62D29">
        <w:rPr>
          <w:rFonts w:ascii="Tahoma" w:eastAsia="Times New Roman" w:hAnsi="Tahoma" w:cs="Tahoma"/>
          <w:color w:val="000000"/>
          <w:sz w:val="21"/>
          <w:szCs w:val="21"/>
        </w:rPr>
        <w:t>Handling of the complaints; Procedure of IC Meetings/Requirements</w:t>
      </w:r>
    </w:p>
    <w:p w:rsidR="00462D29" w:rsidRPr="00462D29" w:rsidRDefault="00462D29" w:rsidP="00462D2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62D29">
        <w:rPr>
          <w:rFonts w:ascii="Tahoma" w:eastAsia="Times New Roman" w:hAnsi="Tahoma" w:cs="Tahoma"/>
          <w:color w:val="000000"/>
          <w:sz w:val="21"/>
          <w:szCs w:val="21"/>
        </w:rPr>
        <w:t>Returns to be filed;</w:t>
      </w:r>
    </w:p>
    <w:p w:rsidR="00462D29" w:rsidRPr="00462D29" w:rsidRDefault="00462D29" w:rsidP="00462D2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62D29">
        <w:rPr>
          <w:rFonts w:ascii="Tahoma" w:eastAsia="Times New Roman" w:hAnsi="Tahoma" w:cs="Tahoma"/>
          <w:color w:val="000000"/>
          <w:sz w:val="21"/>
          <w:szCs w:val="21"/>
        </w:rPr>
        <w:t>How to market the training; practical tips.</w:t>
      </w:r>
    </w:p>
    <w:p w:rsidR="00462D29" w:rsidRPr="00440A87" w:rsidRDefault="00462D29" w:rsidP="00462D2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62D29">
        <w:rPr>
          <w:rFonts w:ascii="Tahoma" w:eastAsia="Times New Roman" w:hAnsi="Tahoma" w:cs="Tahoma"/>
          <w:color w:val="000000"/>
          <w:sz w:val="21"/>
          <w:szCs w:val="21"/>
        </w:rPr>
        <w:t>Case Studies &amp; Role Play; </w:t>
      </w:r>
    </w:p>
    <w:p w:rsidR="00440A87" w:rsidRPr="00462D29" w:rsidRDefault="00440A87" w:rsidP="00440A87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For the details of next workshop, please see the ‘Events’</w:t>
      </w:r>
      <w:bookmarkStart w:id="0" w:name="_GoBack"/>
      <w:bookmarkEnd w:id="0"/>
    </w:p>
    <w:p w:rsidR="00462D29" w:rsidRPr="00925871" w:rsidRDefault="00462D29" w:rsidP="00925871">
      <w:pPr>
        <w:jc w:val="center"/>
        <w:rPr>
          <w:lang w:val="en-US"/>
        </w:rPr>
      </w:pPr>
    </w:p>
    <w:sectPr w:rsidR="00462D29" w:rsidRPr="00925871" w:rsidSect="002E56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8C"/>
    <w:multiLevelType w:val="hybridMultilevel"/>
    <w:tmpl w:val="DEDE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C7E"/>
    <w:multiLevelType w:val="multilevel"/>
    <w:tmpl w:val="C41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FC3B6F"/>
    <w:multiLevelType w:val="hybridMultilevel"/>
    <w:tmpl w:val="9534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71"/>
    <w:rsid w:val="00171C5C"/>
    <w:rsid w:val="002E56D6"/>
    <w:rsid w:val="00440A87"/>
    <w:rsid w:val="00462D29"/>
    <w:rsid w:val="00925871"/>
    <w:rsid w:val="00B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4BE5D"/>
  <w15:chartTrackingRefBased/>
  <w15:docId w15:val="{B324E7D6-4FE9-984A-A562-6861356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ml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0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box.nic.in/training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Rafeeque-VLegal</dc:creator>
  <cp:keywords/>
  <dc:description/>
  <cp:lastModifiedBy>Rafeeque-VLegal</cp:lastModifiedBy>
  <cp:revision>2</cp:revision>
  <dcterms:created xsi:type="dcterms:W3CDTF">2019-05-05T03:50:00Z</dcterms:created>
  <dcterms:modified xsi:type="dcterms:W3CDTF">2019-05-06T06:51:00Z</dcterms:modified>
</cp:coreProperties>
</file>